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008B2C34" w:rsidR="0013619D" w:rsidRDefault="0013619D" w:rsidP="0013619D">
      <w:pPr>
        <w:jc w:val="both"/>
      </w:pPr>
      <w:r w:rsidRPr="0013619D">
        <w:t xml:space="preserve">İşbu Merkez adresi </w:t>
      </w:r>
      <w:r w:rsidR="00F32EB9">
        <w:t>Barbaros</w:t>
      </w:r>
      <w:r>
        <w:t xml:space="preserve"> Mah. </w:t>
      </w:r>
      <w:r w:rsidR="00F32EB9">
        <w:t>Nuh Kuyusu Cad. No:80-82 Üskürdar/İstanbul</w:t>
      </w:r>
      <w:r>
        <w:t xml:space="preserve"> </w:t>
      </w:r>
      <w:r w:rsidRPr="0013619D">
        <w:t xml:space="preserve">olan </w:t>
      </w:r>
      <w:r w:rsidR="0022044E">
        <w:t xml:space="preserve">MEDLOG Gemicilik ve Ticaret </w:t>
      </w:r>
      <w:r>
        <w:t>A.Ş.</w:t>
      </w:r>
      <w:r w:rsidRPr="0013619D">
        <w:t> </w:t>
      </w:r>
      <w:r w:rsidRPr="0013619D">
        <w:rPr>
          <w:b/>
          <w:bCs/>
        </w:rPr>
        <w:t>(“</w:t>
      </w:r>
      <w:r>
        <w:rPr>
          <w:b/>
          <w:bCs/>
        </w:rPr>
        <w:t>M</w:t>
      </w:r>
      <w:r w:rsidR="0022044E">
        <w:rPr>
          <w:b/>
          <w:bCs/>
        </w:rPr>
        <w:t>EDLOG GEMİCİLİK</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5670F5">
        <w:t>MEDLOG GEMİCİLİK’</w:t>
      </w:r>
      <w:r w:rsidRPr="0013619D">
        <w:t xml:space="preserve">e iletmeleri durumunda, </w:t>
      </w:r>
      <w:r w:rsidR="005670F5">
        <w:t>MEDLOG GEMİCİLİK</w:t>
      </w:r>
      <w:r w:rsidRPr="0013619D">
        <w:t xml:space="preserve">’in veri sorumlusu sıfatıyla kanunun öngördüğü biçimde gerekli aksiyonları alması için hazırlanmıştır. </w:t>
      </w:r>
      <w:r w:rsidR="005670F5">
        <w:t>MEDLOG GEMİCİLİK</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38E1DBD5"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5670F5">
        <w:t xml:space="preserve">MEDLOG GEMİCİLİK’ </w:t>
      </w:r>
      <w:r>
        <w:t xml:space="preserve">in </w:t>
      </w:r>
      <w:r w:rsidR="005670F5">
        <w:t>“</w:t>
      </w:r>
      <w:r w:rsidR="005670F5" w:rsidRPr="005670F5">
        <w:rPr>
          <w:rFonts w:cs="Arial"/>
        </w:rPr>
        <w:t>http://www.medloggemicilik.com/Home/KvkHakkinda</w:t>
      </w:r>
      <w:r w:rsidR="005670F5">
        <w:rPr>
          <w:rFonts w:cs="Arial"/>
        </w:rPr>
        <w:t>”</w:t>
      </w:r>
      <w:r w:rsidR="005670F5" w:rsidRPr="005670F5">
        <w:rPr>
          <w:rFonts w:cs="Arial"/>
        </w:rPr>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3020"/>
        <w:gridCol w:w="3021"/>
        <w:gridCol w:w="3021"/>
      </w:tblGrid>
      <w:tr w:rsidR="00C47F02" w14:paraId="082F4C79" w14:textId="77777777" w:rsidTr="00C47F02">
        <w:trPr>
          <w:trHeight w:val="560"/>
        </w:trPr>
        <w:tc>
          <w:tcPr>
            <w:tcW w:w="3020" w:type="dxa"/>
          </w:tcPr>
          <w:p w14:paraId="07F7BCBC" w14:textId="5FF3A128" w:rsidR="00C47F02" w:rsidRPr="00C47F02" w:rsidRDefault="00C47F02" w:rsidP="00554D78">
            <w:pPr>
              <w:tabs>
                <w:tab w:val="num" w:pos="1440"/>
              </w:tabs>
              <w:jc w:val="both"/>
              <w:rPr>
                <w:b/>
              </w:rPr>
            </w:pPr>
            <w:r w:rsidRPr="00C47F02">
              <w:rPr>
                <w:b/>
              </w:rPr>
              <w:t>BAŞVURU YÖNTEMİ</w:t>
            </w:r>
          </w:p>
        </w:tc>
        <w:tc>
          <w:tcPr>
            <w:tcW w:w="3021"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021"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C47F02">
        <w:trPr>
          <w:trHeight w:val="1002"/>
        </w:trPr>
        <w:tc>
          <w:tcPr>
            <w:tcW w:w="3020"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3021" w:type="dxa"/>
          </w:tcPr>
          <w:p w14:paraId="16C5AEA2" w14:textId="0704CEDD" w:rsidR="00C47F02" w:rsidRDefault="002852C5" w:rsidP="00554D78">
            <w:pPr>
              <w:tabs>
                <w:tab w:val="num" w:pos="1440"/>
              </w:tabs>
              <w:jc w:val="both"/>
            </w:pPr>
            <w:r>
              <w:t>Barbaros Mah. Nuh Kuyusu Cad. No:80-82 Üsküdar/İstanbul</w:t>
            </w:r>
            <w:bookmarkStart w:id="0" w:name="_GoBack"/>
            <w:bookmarkEnd w:id="0"/>
            <w:r>
              <w:t xml:space="preserve"> </w:t>
            </w:r>
            <w:r w:rsidR="00C47F02">
              <w:t xml:space="preserve"> </w:t>
            </w:r>
          </w:p>
        </w:tc>
        <w:tc>
          <w:tcPr>
            <w:tcW w:w="3021"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C47F02">
        <w:trPr>
          <w:trHeight w:val="1007"/>
        </w:trPr>
        <w:tc>
          <w:tcPr>
            <w:tcW w:w="3020"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3021" w:type="dxa"/>
          </w:tcPr>
          <w:p w14:paraId="181BC490" w14:textId="77777777" w:rsidR="00C47F02" w:rsidRDefault="00C47F02" w:rsidP="00554D78">
            <w:pPr>
              <w:tabs>
                <w:tab w:val="num" w:pos="1440"/>
              </w:tabs>
              <w:jc w:val="both"/>
            </w:pPr>
          </w:p>
          <w:p w14:paraId="3D2E997B" w14:textId="67E73FCF" w:rsidR="00C47F02" w:rsidRDefault="00030482" w:rsidP="00554D78">
            <w:pPr>
              <w:tabs>
                <w:tab w:val="num" w:pos="1440"/>
              </w:tabs>
              <w:jc w:val="both"/>
            </w:pPr>
            <w:r w:rsidRPr="00030482">
              <w:t>25919-68306-44795</w:t>
            </w:r>
          </w:p>
        </w:tc>
        <w:tc>
          <w:tcPr>
            <w:tcW w:w="3021"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C47F02">
        <w:trPr>
          <w:trHeight w:val="997"/>
        </w:trPr>
        <w:tc>
          <w:tcPr>
            <w:tcW w:w="3020"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3021" w:type="dxa"/>
          </w:tcPr>
          <w:p w14:paraId="1D6A9E9B" w14:textId="77777777" w:rsidR="00C47F02" w:rsidRDefault="00C47F02" w:rsidP="00554D78">
            <w:pPr>
              <w:tabs>
                <w:tab w:val="num" w:pos="1440"/>
              </w:tabs>
              <w:jc w:val="both"/>
            </w:pPr>
          </w:p>
          <w:p w14:paraId="75610B61" w14:textId="59B93903" w:rsidR="00C47F02" w:rsidRDefault="00030482" w:rsidP="00554D78">
            <w:pPr>
              <w:tabs>
                <w:tab w:val="num" w:pos="1440"/>
              </w:tabs>
              <w:jc w:val="both"/>
            </w:pPr>
            <w:r w:rsidRPr="00030482">
              <w:t>medloggemicilik@hs03.kep.tr</w:t>
            </w:r>
          </w:p>
        </w:tc>
        <w:tc>
          <w:tcPr>
            <w:tcW w:w="3021"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6F120D30" w:rsidR="0013619D" w:rsidRPr="0013619D" w:rsidRDefault="0013619D" w:rsidP="0013619D">
      <w:r w:rsidRPr="0013619D">
        <w:t xml:space="preserve">Kanun’un 11. maddesi hükmü uyarınca, İlgili Kişiler kişisel verilerine ilişkin olarak her zaman aşağıda yer alan hususlarda </w:t>
      </w:r>
      <w:r w:rsidR="005670F5">
        <w:t>MEDLOG GEMİCİLİK</w:t>
      </w:r>
      <w:r w:rsidRPr="0013619D">
        <w:t>’e 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lastRenderedPageBreak/>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2"/>
        <w:gridCol w:w="6509"/>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64670A46"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AD315E">
              <w:t>MEDLOG GEMİCİLİK</w:t>
            </w:r>
            <w:r w:rsidR="00AD315E"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607967D6" w:rsidR="0013619D" w:rsidRPr="0013619D" w:rsidRDefault="00AD315E" w:rsidP="0013619D">
            <w:r>
              <w:t>MEDLOG GEMİCİLİK</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61D27FD9" w:rsidR="0013619D" w:rsidRPr="0013619D" w:rsidRDefault="00AD315E" w:rsidP="00C02902">
            <w:r>
              <w:t>MEDLOG GEMİCİLİK</w:t>
            </w:r>
            <w:r w:rsidR="0013619D" w:rsidRPr="0013619D">
              <w:t xml:space="preserve"> 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025ADF57" w:rsidR="0013619D" w:rsidRPr="0013619D" w:rsidRDefault="0013619D" w:rsidP="0013619D">
            <w:r w:rsidRPr="0013619D">
              <w:t xml:space="preserve">Tedarikçiler, danışman şirketler, taşeron şirketler dâhil fakat bunlarla sınırlı olmamak üzere Kanunda tanımlı şekilde, </w:t>
            </w:r>
            <w:r w:rsidR="00AD315E">
              <w:t>MEDLOG GEMİCİLİK’</w:t>
            </w:r>
            <w:r w:rsidR="00031B0E">
              <w:t>in</w:t>
            </w:r>
            <w:r w:rsidRPr="0013619D">
              <w:t xml:space="preserve"> 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3BEA4F22"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AD315E">
        <w:t>MEDLOG GEMİCİLİK’</w:t>
      </w:r>
      <w:r w:rsidR="002D1027">
        <w:t>e</w:t>
      </w:r>
      <w:r w:rsidRPr="0013619D">
        <w:t xml:space="preserve"> 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AD315E">
        <w:t>MEDLOG GEMİCİLİK</w:t>
      </w:r>
      <w:r w:rsidR="00AD315E" w:rsidRPr="0013619D">
        <w:t xml:space="preserve"> </w:t>
      </w:r>
      <w:r w:rsidRPr="0013619D">
        <w:t xml:space="preserve">içinde muhatap kişi belirlenir. Görevi belirlenen kişi, gelecek başvuruları hızlıca ilgili departmana yahut çalışana iletir ve </w:t>
      </w:r>
      <w:r w:rsidR="00AD315E">
        <w:t>MEDLOG GEMİCİLİK</w:t>
      </w:r>
      <w:r w:rsidRPr="0013619D">
        <w:t xml:space="preserve"> 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7193368D" w:rsidR="00B563BE" w:rsidRDefault="0013619D" w:rsidP="00B563BE">
      <w:pPr>
        <w:jc w:val="both"/>
      </w:pPr>
      <w:r w:rsidRPr="0013619D">
        <w:br/>
        <w:t xml:space="preserve">İşbu Prosedür gereği, İlgili Kişi taleplerinin değerlendirilebilmesi için ilk olarak başvuruyu yapan kişinin, </w:t>
      </w:r>
      <w:r w:rsidR="00AD315E">
        <w:t>MEDLOG GEMİCİLİK</w:t>
      </w:r>
      <w:r w:rsidRPr="0013619D">
        <w:t xml:space="preserve"> nezdinde işlenen kişisel verilerin sahibi olup olmadığı tespit edilir. Başvuruyu işleme alabilmek ve doğru kişiye sonucu iletebilmek için başvuranın kimlik bilgileri tespit edilir.</w:t>
      </w:r>
      <w:r w:rsidRPr="0013619D">
        <w:br/>
      </w:r>
      <w:r w:rsidR="00AD315E">
        <w:t>MEDLOG GEMİCİLİK</w:t>
      </w:r>
      <w:r w:rsidRPr="0013619D">
        <w:t xml:space="preserve"> başvuruları almak için standart bir form </w:t>
      </w:r>
      <w:r w:rsidR="00B21496">
        <w:t xml:space="preserve">olan </w:t>
      </w:r>
      <w:r w:rsidR="00AD315E">
        <w:t>“</w:t>
      </w:r>
      <w:r w:rsidR="00AD315E" w:rsidRPr="005670F5">
        <w:rPr>
          <w:rFonts w:cs="Arial"/>
        </w:rPr>
        <w:t>http://www.medloggemicilik.com/Home/KvkHakkinda</w:t>
      </w:r>
      <w:r w:rsidR="00AD315E">
        <w:rPr>
          <w:rFonts w:cs="Arial"/>
        </w:rPr>
        <w:t>”</w:t>
      </w:r>
      <w:r w:rsidR="00AD315E" w:rsidRPr="005670F5">
        <w:rPr>
          <w:rFonts w:cs="Arial"/>
        </w:rPr>
        <w:t xml:space="preserve"> </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6E9E7C0E"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AD315E">
        <w:t>MEDLOG GEMİCİLİK</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0BD28A64"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AD315E">
        <w:t>MEDLOG GEMİCİLİK</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6AB6D5BA" w:rsidR="0013619D" w:rsidRPr="0013619D" w:rsidRDefault="0013619D" w:rsidP="00741983">
      <w:pPr>
        <w:jc w:val="both"/>
      </w:pPr>
      <w:r w:rsidRPr="0013619D">
        <w:t xml:space="preserve">Veri Sorumlusuna Başvuru Usul ve Esasları Hakkında Tebliğ’in 7. maddesi gereği; </w:t>
      </w:r>
      <w:r w:rsidR="00AD315E">
        <w:t>MEDLOG GEMİCİLİK</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AD315E">
        <w:t>MEDLOG GEMİCİLİK’</w:t>
      </w:r>
      <w:r w:rsidRPr="0013619D">
        <w:t>in 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352334B2"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AD315E">
        <w:t>MEDLOG GEMİCİLİK</w:t>
      </w:r>
      <w:r w:rsidRPr="0013619D">
        <w:t xml:space="preserve"> 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56F7D017" w:rsidR="0013619D" w:rsidRPr="0013619D" w:rsidRDefault="0013619D" w:rsidP="00741983">
      <w:pPr>
        <w:jc w:val="both"/>
      </w:pPr>
      <w:r w:rsidRPr="0013619D">
        <w:br/>
      </w:r>
      <w:r w:rsidRPr="0013619D">
        <w:rPr>
          <w:b/>
          <w:bCs/>
        </w:rPr>
        <w:t>3. Adım:</w:t>
      </w:r>
      <w:r w:rsidRPr="0013619D">
        <w:t> </w:t>
      </w:r>
      <w:r w:rsidR="00AD315E">
        <w:t>MEDLOG GEMİCİLİK</w:t>
      </w:r>
      <w:r w:rsidRPr="0013619D">
        <w:t xml:space="preserve"> 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0E5B3227" w:rsidR="00741983" w:rsidRDefault="0013619D" w:rsidP="00741983">
      <w:pPr>
        <w:jc w:val="both"/>
      </w:pPr>
      <w:r w:rsidRPr="0013619D">
        <w:t xml:space="preserve">İlgili Kişi’nin ya da temsilcisinin eksik/hatalı bilgi düzeltimine ilişkin taleplerinde, ilgili bilgileri teyit etmek için gönderdiği evraklar </w:t>
      </w:r>
      <w:r w:rsidR="00AD315E" w:rsidRPr="00AD315E">
        <w:t>MEDLOG GEMİCİLİK</w:t>
      </w:r>
      <w:r w:rsidRPr="0013619D">
        <w:t xml:space="preserve"> kayıtlarında yer alan bilgilerle karşılaştırılır ve incelenir. İlgili evrakların doğruluğu sonucuna ulaşılırsa, </w:t>
      </w:r>
      <w:r w:rsidR="00AD315E">
        <w:t>MEDLOG GEMİCİLİK</w:t>
      </w:r>
      <w:r w:rsidR="00AD315E" w:rsidRPr="0013619D">
        <w:t xml:space="preserve"> </w:t>
      </w:r>
      <w:r w:rsidRPr="0013619D">
        <w:t>gerekli düzeltme ve tamamlamaları yapar, yapılan güncellemelerin olduğu bir cevap metnini İlgili Kişi’ye ulaştırır.</w:t>
      </w:r>
    </w:p>
    <w:p w14:paraId="02A6CD6B" w14:textId="56468EDC" w:rsidR="00741983" w:rsidRDefault="0013619D" w:rsidP="00741983">
      <w:pPr>
        <w:jc w:val="both"/>
      </w:pPr>
      <w:r w:rsidRPr="0013619D">
        <w:br/>
        <w:t xml:space="preserve">İlgili Kişi’nin kişisel verilerinin imha edilmesine yönelik taleplerinde </w:t>
      </w:r>
      <w:r w:rsidR="00AD315E">
        <w:t>MEDLOG GEMİCİLİK</w:t>
      </w:r>
      <w:r w:rsidR="00AD315E"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2303041A" w:rsidR="0013619D" w:rsidRPr="0013619D" w:rsidRDefault="0013619D" w:rsidP="00741983">
      <w:pPr>
        <w:jc w:val="both"/>
      </w:pPr>
      <w:r w:rsidRPr="0013619D">
        <w:br/>
      </w:r>
      <w:r w:rsidR="00AD315E">
        <w:t>MEDLOG GEMİCİLİK</w:t>
      </w:r>
      <w:r w:rsidRPr="0013619D">
        <w:t xml:space="preserve"> 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AD315E">
        <w:t>MEDLOG GEMİCİLİK</w:t>
      </w:r>
      <w:r w:rsidRPr="0013619D">
        <w:t xml:space="preserve"> 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772887AF"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AD315E">
        <w:t>MEDLOG GEMİCİLİK</w:t>
      </w:r>
      <w:r w:rsidRPr="0013619D">
        <w:t xml:space="preserve">, kişisel İlgili Kişi tarafından yapılacak başvuruları Kanun ve ikincil mevzuata uygun olarak sonuçlandırmak için gerekli idari ve teknik tedbirleri almalıdır. </w:t>
      </w:r>
      <w:r w:rsidR="00AD315E">
        <w:t>MEDLOG GEMİCİLİK</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7A892436" w:rsidR="0013619D" w:rsidRPr="0013619D" w:rsidRDefault="00AD315E" w:rsidP="0013619D">
      <w:pPr>
        <w:rPr>
          <w:b/>
          <w:bCs/>
        </w:rPr>
      </w:pPr>
      <w:r>
        <w:t>MEDLOG GEMİCİLİK</w:t>
      </w:r>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30482"/>
    <w:rsid w:val="00031B0E"/>
    <w:rsid w:val="0006311D"/>
    <w:rsid w:val="00095A64"/>
    <w:rsid w:val="0013619D"/>
    <w:rsid w:val="00180B59"/>
    <w:rsid w:val="00183DA3"/>
    <w:rsid w:val="00203612"/>
    <w:rsid w:val="0022044E"/>
    <w:rsid w:val="002852C5"/>
    <w:rsid w:val="002D1027"/>
    <w:rsid w:val="003A1A10"/>
    <w:rsid w:val="003D5610"/>
    <w:rsid w:val="00554D78"/>
    <w:rsid w:val="005670F5"/>
    <w:rsid w:val="005D386B"/>
    <w:rsid w:val="00741983"/>
    <w:rsid w:val="007F64B9"/>
    <w:rsid w:val="008B5B76"/>
    <w:rsid w:val="00AD315E"/>
    <w:rsid w:val="00B21496"/>
    <w:rsid w:val="00B563BE"/>
    <w:rsid w:val="00BB1F00"/>
    <w:rsid w:val="00BE0979"/>
    <w:rsid w:val="00C02902"/>
    <w:rsid w:val="00C47F02"/>
    <w:rsid w:val="00DC4D69"/>
    <w:rsid w:val="00DE3FF5"/>
    <w:rsid w:val="00F32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E725-3EEB-42DD-BD3D-B11EC7F8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25</cp:revision>
  <dcterms:created xsi:type="dcterms:W3CDTF">2022-02-21T13:30:00Z</dcterms:created>
  <dcterms:modified xsi:type="dcterms:W3CDTF">2023-06-06T12:36:00Z</dcterms:modified>
</cp:coreProperties>
</file>